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sz w:val="28"/>
          <w:szCs w:val="28"/>
          <w:highlight w:val="none"/>
          <w:lang w:val="ru-RU"/>
        </w:rPr>
      </w:pPr>
      <w:r>
        <w:rPr>
          <w:sz w:val="28"/>
          <w:lang w:val="ru-RU"/>
        </w:rPr>
        <w:t xml:space="preserve">Информация о результатах деятельности</w:t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spacing w:line="276" w:lineRule="auto"/>
        <w:rPr>
          <w:sz w:val="28"/>
          <w:szCs w:val="28"/>
          <w:highlight w:val="none"/>
        </w:rPr>
      </w:pPr>
      <w:r>
        <w:rPr>
          <w:sz w:val="28"/>
        </w:rPr>
        <w:t xml:space="preserve">управления </w:t>
      </w:r>
      <w:r>
        <w:rPr>
          <w:sz w:val="28"/>
        </w:rPr>
        <w:t xml:space="preserve">жилищного </w:t>
      </w:r>
      <w:r>
        <w:rPr>
          <w:sz w:val="28"/>
        </w:rPr>
        <w:t xml:space="preserve">фонда</w:t>
      </w:r>
      <w:r>
        <w:rPr>
          <w:sz w:val="28"/>
        </w:rPr>
        <w:t xml:space="preserve"> администрации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highlight w:val="none"/>
        </w:rPr>
        <w:t xml:space="preserve">городского округа город Выкса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</w:rPr>
      </w:pPr>
      <w:r>
        <w:rPr>
          <w:sz w:val="28"/>
        </w:rPr>
        <w:t xml:space="preserve">за 202</w:t>
      </w:r>
      <w:r>
        <w:rPr>
          <w:sz w:val="28"/>
        </w:rPr>
        <w:t xml:space="preserve">4</w:t>
      </w:r>
      <w:r>
        <w:rPr>
          <w:sz w:val="28"/>
        </w:rPr>
        <w:t xml:space="preserve"> год.</w:t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8"/>
        <w:jc w:val="both"/>
        <w:spacing w:line="360" w:lineRule="auto"/>
        <w:rPr>
          <w:sz w:val="28"/>
        </w:rPr>
      </w:pPr>
      <w:r>
        <w:rPr>
          <w:sz w:val="28"/>
        </w:rPr>
        <w:t xml:space="preserve">На территории городского округа реализуются программы, направленные на осуществление конституционного права граждан на жилище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8"/>
        <w:jc w:val="both"/>
        <w:spacing w:line="360" w:lineRule="auto"/>
        <w:rPr>
          <w:sz w:val="28"/>
        </w:rPr>
      </w:pPr>
      <w:r>
        <w:rPr>
          <w:sz w:val="28"/>
        </w:rPr>
        <w:t xml:space="preserve">В рамках реализации подпрограммы </w:t>
      </w:r>
      <w:r>
        <w:rPr>
          <w:sz w:val="28"/>
        </w:rPr>
        <w:t xml:space="preserve">«Выполнение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</w:r>
      <w:r>
        <w:rPr>
          <w:sz w:val="28"/>
        </w:rPr>
        <w:t xml:space="preserve"> </w:t>
      </w:r>
      <w:r>
        <w:rPr>
          <w:sz w:val="28"/>
        </w:rPr>
        <w:t xml:space="preserve">государственной программы «</w:t>
      </w:r>
      <w:r>
        <w:rPr>
          <w:sz w:val="28"/>
          <w:szCs w:val="28"/>
        </w:rPr>
        <w:t xml:space="preserve">Развитие жилищного строительства и государственная поддержка граждан по обеспечению жильем на территории Нижегородской области» </w:t>
      </w:r>
      <w:r>
        <w:rPr>
          <w:sz w:val="28"/>
        </w:rPr>
        <w:t xml:space="preserve">жилыми помещениями обеспечиваются</w:t>
      </w:r>
      <w:r>
        <w:rPr>
          <w:sz w:val="28"/>
        </w:rPr>
        <w:t xml:space="preserve"> лица из числа</w:t>
      </w:r>
      <w:r>
        <w:rPr>
          <w:sz w:val="28"/>
        </w:rPr>
        <w:t xml:space="preserve"> </w:t>
      </w:r>
      <w:r>
        <w:rPr>
          <w:sz w:val="28"/>
        </w:rPr>
        <w:t xml:space="preserve">дет</w:t>
      </w:r>
      <w:r>
        <w:rPr>
          <w:sz w:val="28"/>
        </w:rPr>
        <w:t xml:space="preserve">ей</w:t>
      </w:r>
      <w:r>
        <w:rPr>
          <w:sz w:val="28"/>
        </w:rPr>
        <w:t xml:space="preserve">-сирот и дет</w:t>
      </w:r>
      <w:r>
        <w:rPr>
          <w:sz w:val="28"/>
        </w:rPr>
        <w:t xml:space="preserve">ей</w:t>
      </w:r>
      <w:r>
        <w:rPr>
          <w:sz w:val="28"/>
        </w:rPr>
        <w:t xml:space="preserve">, оставши</w:t>
      </w:r>
      <w:r>
        <w:rPr>
          <w:sz w:val="28"/>
        </w:rPr>
        <w:t xml:space="preserve">х</w:t>
      </w:r>
      <w:r>
        <w:rPr>
          <w:sz w:val="28"/>
        </w:rPr>
        <w:t xml:space="preserve">ся без попечения родителей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</w:rPr>
        <w:t xml:space="preserve">П</w:t>
      </w:r>
      <w:r>
        <w:rPr>
          <w:sz w:val="28"/>
        </w:rPr>
        <w:t xml:space="preserve">риобретено </w:t>
      </w:r>
      <w:r>
        <w:rPr>
          <w:sz w:val="28"/>
        </w:rPr>
        <w:t xml:space="preserve">11</w:t>
      </w:r>
      <w:r>
        <w:rPr>
          <w:sz w:val="28"/>
        </w:rPr>
        <w:t xml:space="preserve"> благоустроенных</w:t>
      </w:r>
      <w:r>
        <w:rPr>
          <w:sz w:val="28"/>
        </w:rPr>
        <w:t xml:space="preserve"> квартир.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</w:rPr>
        <w:t xml:space="preserve">Объем </w:t>
      </w:r>
      <w:r>
        <w:rPr>
          <w:sz w:val="28"/>
        </w:rPr>
        <w:t xml:space="preserve">средств субвенций федерального и областного бюджетов</w:t>
      </w:r>
      <w:r>
        <w:rPr>
          <w:sz w:val="28"/>
        </w:rPr>
        <w:t xml:space="preserve">, выделенных на покупку жилья детям-сиротам составил </w:t>
      </w:r>
      <w:r>
        <w:rPr>
          <w:sz w:val="28"/>
        </w:rPr>
        <w:t xml:space="preserve">34 780,20</w:t>
      </w:r>
      <w:r>
        <w:rPr>
          <w:sz w:val="28"/>
        </w:rPr>
        <w:t xml:space="preserve"> тыс.рублей. </w:t>
      </w:r>
      <w:r>
        <w:rPr>
          <w:sz w:val="28"/>
          <w:szCs w:val="28"/>
        </w:rPr>
      </w:r>
      <w:r/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</w:rPr>
        <w:t xml:space="preserve">Всего обеспечены благоустроенными жилыми помещениями 17 лиц из числа детей-сирот, в том числе 6 человек – жилыми помещениями (квартирами) из имеющегося муниципального специализированного жилищного фонда для детей-сирот.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360" w:lineRule="auto"/>
        <w:tabs>
          <w:tab w:val="left" w:pos="720" w:leader="none"/>
        </w:tabs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существлялась реализация 1-го и 2-го этапов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программы «Переселение граждан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 аварийного жилищного фонда на территории городского округа город Выкса Нижегородской области» (в рамках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2019-2023 годы», утвержденной постановлением Правительства Нижегородской области от 29 марта 2019 года № 168</w:t>
      </w:r>
      <w:r>
        <w:rPr>
          <w:b w:val="0"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Программа).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</w:p>
    <w:p>
      <w:pPr>
        <w:pStyle w:val="841"/>
        <w:ind w:firstLine="708"/>
        <w:jc w:val="both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рамках реализации 1-го этапа Программы было расселено 7 жилых помещений, расположенных в аварийных многоквартирных жилых домах, общей площадью 212,80 </w:t>
      </w:r>
      <w:r>
        <w:rPr>
          <w:rFonts w:ascii="Times New Roman" w:hAnsi="Times New Roman"/>
          <w:b w:val="0"/>
          <w:sz w:val="28"/>
          <w:szCs w:val="28"/>
        </w:rPr>
        <w:t xml:space="preserve">кв.м</w:t>
      </w:r>
      <w:r>
        <w:rPr>
          <w:rFonts w:ascii="Times New Roman" w:hAnsi="Times New Roman"/>
          <w:b w:val="0"/>
          <w:sz w:val="28"/>
          <w:szCs w:val="28"/>
        </w:rPr>
        <w:t xml:space="preserve">., 8 человек, путем предоставления гражданам жилых помещений, приобретенных во вновь построенных многоквартирных домах.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в рамках реализации 1 этапа в 2024 году составило 584,20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., в том числе: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средства публично-правовой компании «Фонд развития территорий» – 560,50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средства областного бюджета – 19,00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средства бюджета городского округа город Выкса Нижегородской области – 4,70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2-го этапа Программы было расселено 98 жилых помещения, расположенных в аварийных многоквартирных жилых домах, общей площадью 4 119,1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., 148 человек, в том числе: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путем предоставления гражданам жилых помещений, приобретенных во вновь построенных многоквартирных домах – 91 помещение, общей площадью 3 770,20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путем предоставления гражданам жилых помещений, приобретенных на вторичном рынке жилья – 7 помещений, общей площадью </w:t>
      </w:r>
      <w:r>
        <w:rPr>
          <w:rFonts w:ascii="Times New Roman" w:hAnsi="Times New Roman"/>
          <w:sz w:val="28"/>
          <w:szCs w:val="28"/>
        </w:rPr>
        <w:t xml:space="preserve">348,90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в рамках реализации 2 этапа в 2024 году составило 209 158,90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., в том числе: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средства публично-правовой компании «Фонд развития территорий» – 199 735,70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средства областного бюджета – 7 747,70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0"/>
        <w:ind w:left="0" w:firstLine="993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средства бюджета городского округа город Выкса Нижегородской области – 1 675,50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40"/>
        <w:ind w:left="0" w:firstLine="0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tabs>
          <w:tab w:val="left" w:pos="720" w:leader="none"/>
        </w:tabs>
        <w:rPr>
          <w:rFonts w:eastAsia="Calibri"/>
          <w:sz w:val="28"/>
          <w:szCs w:val="28"/>
          <w:lang w:eastAsia="en-US"/>
        </w:rPr>
      </w:pPr>
      <w:r/>
      <w:bookmarkStart w:id="0" w:name="_GoBack"/>
      <w:r/>
      <w:bookmarkEnd w:id="0"/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-32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-25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-17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-10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-3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8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4"/>
    <w:next w:val="834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5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5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5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5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5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alloon Text"/>
    <w:basedOn w:val="834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5"/>
    <w:link w:val="83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0">
    <w:name w:val="List Paragraph"/>
    <w:basedOn w:val="834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</dc:creator>
  <cp:lastModifiedBy>rydaeva.om</cp:lastModifiedBy>
  <cp:revision>35</cp:revision>
  <dcterms:created xsi:type="dcterms:W3CDTF">2020-02-25T10:29:00Z</dcterms:created>
  <dcterms:modified xsi:type="dcterms:W3CDTF">2026-04-01T06:20:31Z</dcterms:modified>
</cp:coreProperties>
</file>